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/>
        <w:topLinePunct w:val="0"/>
        <w:autoSpaceDE/>
        <w:adjustRightInd w:val="0"/>
        <w:snapToGrid w:val="0"/>
        <w:spacing w:beforeLines="0" w:line="360" w:lineRule="auto"/>
        <w:ind w:firstLine="562" w:firstLineChars="200"/>
        <w:jc w:val="left"/>
        <w:rPr>
          <w:rFonts w:hint="eastAsia" w:ascii="仿宋_GB2312" w:hAnsi="Times New Roman" w:eastAsia="仿宋_GB2312"/>
          <w:b/>
          <w:bCs/>
          <w:sz w:val="28"/>
          <w:szCs w:val="28"/>
        </w:rPr>
      </w:pPr>
      <w:bookmarkStart w:id="0" w:name="_GoBack"/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一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、评审条件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60" w:lineRule="auto"/>
        <w:ind w:leftChars="0"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</w:pP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  <w:t>.申报教授职称的，任现职以来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  <w:t>应具备下列条件之一：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60" w:lineRule="auto"/>
        <w:ind w:leftChars="0"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</w:pPr>
      <w:r>
        <w:rPr>
          <w:rFonts w:hint="eastAsia" w:ascii="仿宋_GB2312" w:eastAsia="仿宋_GB2312" w:cs="Times New Roman"/>
          <w:bCs w:val="0"/>
          <w:kern w:val="2"/>
          <w:sz w:val="28"/>
          <w:szCs w:val="28"/>
          <w:u w:val="none"/>
          <w:lang w:eastAsia="zh-CN"/>
        </w:rPr>
        <w:t>（</w:t>
      </w:r>
      <w:r>
        <w:rPr>
          <w:rFonts w:hint="eastAsia" w:ascii="仿宋_GB2312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1</w:t>
      </w:r>
      <w:r>
        <w:rPr>
          <w:rFonts w:hint="eastAsia" w:ascii="仿宋_GB2312" w:eastAsia="仿宋_GB2312" w:cs="Times New Roman"/>
          <w:bCs w:val="0"/>
          <w:kern w:val="2"/>
          <w:sz w:val="28"/>
          <w:szCs w:val="28"/>
          <w:u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  <w:t>主持二类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以上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  <w:t>科研项目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  <w:t>项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  <w:t>（艺术、体育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思政类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  <w:t>教师可主持2项三类项目，</w:t>
      </w:r>
      <w:r>
        <w:rPr>
          <w:rFonts w:hint="eastAsia" w:ascii="仿宋_GB2312" w:eastAsia="仿宋_GB2312"/>
          <w:sz w:val="28"/>
          <w:szCs w:val="28"/>
          <w:u w:val="none"/>
        </w:rPr>
        <w:t>不含教育厅项目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  <w:t>）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  <w:t>项目须实施1年以上，并取得阶段性成果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60" w:lineRule="auto"/>
        <w:ind w:leftChars="0"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</w:pPr>
      <w:r>
        <w:rPr>
          <w:rFonts w:hint="eastAsia" w:ascii="仿宋_GB2312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（2）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主持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  <w:t>一类教学研究项目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1项，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  <w:t>项目须实施1年以上，并取得阶段性成果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60" w:lineRule="auto"/>
        <w:ind w:leftChars="0"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</w:pP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  <w:t>获一类科研奖励（前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  <w:t>名）；或二类科研奖励一等奖（前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  <w:t>名）、二等奖（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  <w:t>第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  <w:t>名）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60" w:lineRule="auto"/>
        <w:ind w:leftChars="0"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</w:pP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（4）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  <w:t>获一类教学成果奖（前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  <w:t>名）；或二类教学成果特等奖（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前2名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</w:rPr>
        <w:t>）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60" w:lineRule="auto"/>
        <w:ind w:leftChars="0"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</w:pP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u w:val="none"/>
        </w:rPr>
        <w:t>主持一类成果推广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u w:val="none"/>
          <w:lang w:eastAsia="zh-CN"/>
        </w:rPr>
        <w:t>或取得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u w:val="none"/>
        </w:rPr>
        <w:t>一类专业实践业绩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u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u w:val="none"/>
        </w:rPr>
        <w:t>项以上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u w:val="none"/>
          <w:lang w:eastAsia="zh-CN"/>
        </w:rPr>
        <w:t>；或获得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u w:val="none"/>
        </w:rPr>
        <w:t>一类知识产权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u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u w:val="none"/>
        </w:rPr>
        <w:t>项以上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且至少1项转让（转让费</w:t>
      </w:r>
      <w:r>
        <w:rPr>
          <w:rFonts w:hint="eastAsia" w:ascii="仿宋_GB2312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万以上）并实际应用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360" w:lineRule="auto"/>
        <w:ind w:leftChars="0"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</w:pP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Cs w:val="0"/>
          <w:kern w:val="2"/>
          <w:sz w:val="28"/>
          <w:szCs w:val="28"/>
          <w:u w:val="none"/>
          <w:lang w:eastAsia="zh-CN"/>
        </w:rPr>
        <w:t>）培养的学生，在国际级、教育部或教育部联合其他部委举办的A类学科和技能竞赛中，获得前3名或一等奖以上奖励。</w:t>
      </w:r>
    </w:p>
    <w:p>
      <w:pPr>
        <w:widowControl w:val="0"/>
        <w:overflowPunct w:val="0"/>
        <w:topLinePunct/>
        <w:autoSpaceDE w:val="0"/>
        <w:adjustRightInd w:val="0"/>
        <w:snapToGrid w:val="0"/>
        <w:spacing w:beforeLines="0" w:line="360" w:lineRule="auto"/>
        <w:ind w:firstLine="562" w:firstLineChars="200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  <w:szCs w:val="28"/>
        </w:rPr>
        <w:t>、论文认定</w:t>
      </w:r>
    </w:p>
    <w:p>
      <w:pPr>
        <w:widowControl w:val="0"/>
        <w:overflowPunct w:val="0"/>
        <w:topLinePunct/>
        <w:autoSpaceDE w:val="0"/>
        <w:adjustRightInd w:val="0"/>
        <w:snapToGrid w:val="0"/>
        <w:spacing w:beforeLines="0" w:line="360" w:lineRule="auto"/>
        <w:ind w:firstLine="560" w:firstLineChars="2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ascii="仿宋_GB2312" w:hAnsi="宋体" w:eastAsia="仿宋_GB2312"/>
          <w:sz w:val="28"/>
          <w:szCs w:val="28"/>
        </w:rPr>
        <w:t>国外学术期刊</w:t>
      </w:r>
      <w:r>
        <w:rPr>
          <w:rFonts w:hint="eastAsia" w:ascii="仿宋_GB2312" w:hAnsi="宋体" w:eastAsia="仿宋_GB2312"/>
          <w:sz w:val="28"/>
          <w:szCs w:val="28"/>
        </w:rPr>
        <w:t>“</w:t>
      </w:r>
      <w:r>
        <w:rPr>
          <w:rFonts w:ascii="仿宋_GB2312" w:hAnsi="宋体" w:eastAsia="仿宋_GB2312"/>
          <w:sz w:val="28"/>
          <w:szCs w:val="28"/>
        </w:rPr>
        <w:t>通讯作者</w:t>
      </w:r>
      <w:r>
        <w:rPr>
          <w:rFonts w:hint="eastAsia" w:ascii="仿宋_GB2312" w:hAnsi="宋体" w:eastAsia="仿宋_GB2312"/>
          <w:sz w:val="28"/>
          <w:szCs w:val="28"/>
        </w:rPr>
        <w:t>”均予认可，但</w:t>
      </w:r>
      <w:r>
        <w:rPr>
          <w:rFonts w:ascii="仿宋_GB2312" w:eastAsia="仿宋_GB2312"/>
          <w:bCs/>
          <w:sz w:val="28"/>
          <w:szCs w:val="28"/>
        </w:rPr>
        <w:t>论文第一作者须为本人指导的学生或本人主持的科研项目组成员，且论文仅限1人使用</w:t>
      </w:r>
      <w:r>
        <w:rPr>
          <w:rFonts w:hint="default" w:ascii="仿宋_GB2312" w:eastAsia="仿宋_GB2312"/>
          <w:bCs/>
          <w:sz w:val="28"/>
          <w:szCs w:val="28"/>
          <w:lang w:eastAsia="zh-CN"/>
        </w:rPr>
        <w:t>（含内聘、晋级等）</w:t>
      </w:r>
      <w:r>
        <w:rPr>
          <w:rFonts w:hint="eastAsia" w:ascii="仿宋_GB2312" w:eastAsia="仿宋_GB2312"/>
          <w:bCs/>
          <w:sz w:val="28"/>
          <w:szCs w:val="28"/>
        </w:rPr>
        <w:t>，一经发现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多人</w:t>
      </w:r>
      <w:r>
        <w:rPr>
          <w:rFonts w:hint="eastAsia" w:ascii="仿宋_GB2312" w:eastAsia="仿宋_GB2312"/>
          <w:bCs/>
          <w:sz w:val="28"/>
          <w:szCs w:val="28"/>
        </w:rPr>
        <w:t>使用按学术不端处理</w:t>
      </w:r>
      <w:r>
        <w:rPr>
          <w:rFonts w:ascii="仿宋_GB2312" w:eastAsia="仿宋_GB2312"/>
          <w:bCs/>
          <w:sz w:val="28"/>
          <w:szCs w:val="28"/>
        </w:rPr>
        <w:t>。</w:t>
      </w:r>
      <w:r>
        <w:rPr>
          <w:rFonts w:hint="eastAsia" w:ascii="仿宋_GB2312" w:eastAsia="仿宋_GB2312"/>
          <w:bCs/>
          <w:sz w:val="28"/>
          <w:szCs w:val="28"/>
        </w:rPr>
        <w:t>以通讯作者身份发表在非高质量期刊目录内的论文，在评审时不能超过2篇。国外学术期刊的共同第一作者仅认可排名第一的作者；中文学术期刊发表的论文只计算第一作者。</w:t>
      </w:r>
    </w:p>
    <w:p>
      <w:pPr>
        <w:widowControl w:val="0"/>
        <w:overflowPunct w:val="0"/>
        <w:topLinePunct/>
        <w:autoSpaceDE w:val="0"/>
        <w:adjustRightInd w:val="0"/>
        <w:snapToGrid w:val="0"/>
        <w:spacing w:beforeLines="0" w:line="360" w:lineRule="auto"/>
        <w:ind w:firstLine="562" w:firstLineChars="200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三</w:t>
      </w:r>
      <w:r>
        <w:rPr>
          <w:rFonts w:hint="eastAsia" w:ascii="仿宋_GB2312" w:hAnsi="宋体" w:eastAsia="仿宋_GB2312"/>
          <w:b/>
          <w:sz w:val="28"/>
          <w:szCs w:val="28"/>
        </w:rPr>
        <w:t>、阶段性成果的认定</w:t>
      </w:r>
    </w:p>
    <w:p>
      <w:pPr>
        <w:widowControl w:val="0"/>
        <w:overflowPunct w:val="0"/>
        <w:topLinePunct/>
        <w:autoSpaceDE w:val="0"/>
        <w:adjustRightInd w:val="0"/>
        <w:snapToGrid w:val="0"/>
        <w:spacing w:beforeLines="0"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以论文作为阶段性成果的必须公开发表在三类以上期刊，论文必须要标明项目编号或项目名称，且申报人必须是第一作者或外文通讯作者；以调研报告等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文字</w:t>
      </w:r>
      <w:r>
        <w:rPr>
          <w:rFonts w:hint="eastAsia" w:ascii="仿宋_GB2312" w:hAnsi="宋体" w:eastAsia="仿宋_GB2312"/>
          <w:sz w:val="28"/>
          <w:szCs w:val="28"/>
        </w:rPr>
        <w:t>形式（不含论著和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论文</w:t>
      </w:r>
      <w:r>
        <w:rPr>
          <w:rFonts w:hint="eastAsia" w:ascii="仿宋_GB2312" w:hAnsi="宋体" w:eastAsia="仿宋_GB2312"/>
          <w:sz w:val="28"/>
          <w:szCs w:val="28"/>
        </w:rPr>
        <w:t>）作为阶段性成果的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须</w:t>
      </w:r>
      <w:r>
        <w:rPr>
          <w:rFonts w:hint="eastAsia" w:ascii="仿宋_GB2312" w:hAnsi="宋体" w:eastAsia="仿宋_GB2312"/>
          <w:sz w:val="28"/>
          <w:szCs w:val="28"/>
        </w:rPr>
        <w:t>送外校3位同行专家进行鉴定，鉴定结论必须达到优秀等次方为有效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1优秀2良好或2个以上优秀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，鉴定费用由申报人承担。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其他形式的阶段性成果的认定范围，以省评文件相关规定和项目申报书约定的预期成果为准。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 w:val="0"/>
        <w:snapToGrid w:val="0"/>
        <w:spacing w:beforeLines="0" w:line="360" w:lineRule="auto"/>
        <w:ind w:firstLine="562" w:firstLineChars="200"/>
        <w:jc w:val="left"/>
        <w:textAlignment w:val="auto"/>
        <w:rPr>
          <w:rFonts w:hint="eastAsia" w:ascii="仿宋_GB2312" w:hAnsi="宋体" w:eastAsia="仿宋_GB2312"/>
          <w:b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四、科研奖励的认定</w:t>
      </w:r>
    </w:p>
    <w:p>
      <w:pPr>
        <w:widowControl w:val="0"/>
        <w:overflowPunct w:val="0"/>
        <w:topLinePunct/>
        <w:autoSpaceDE w:val="0"/>
        <w:adjustRightInd w:val="0"/>
        <w:snapToGrid w:val="0"/>
        <w:spacing w:beforeLines="0"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省社会科学界学术年会优秀成果（二等奖及以上）按照三类科研奖励计算。</w:t>
      </w:r>
    </w:p>
    <w:p>
      <w:pPr>
        <w:widowControl w:val="0"/>
        <w:overflowPunct w:val="0"/>
        <w:topLinePunct/>
        <w:autoSpaceDE w:val="0"/>
        <w:adjustRightInd w:val="0"/>
        <w:snapToGrid w:val="0"/>
        <w:spacing w:beforeLines="0" w:line="360" w:lineRule="auto"/>
        <w:ind w:firstLine="562" w:firstLineChars="200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五</w:t>
      </w:r>
      <w:r>
        <w:rPr>
          <w:rFonts w:hint="eastAsia" w:ascii="仿宋_GB2312" w:hAnsi="宋体" w:eastAsia="仿宋_GB2312"/>
          <w:b/>
          <w:sz w:val="28"/>
          <w:szCs w:val="28"/>
        </w:rPr>
        <w:t>、奖项的认定</w:t>
      </w:r>
    </w:p>
    <w:p>
      <w:pPr>
        <w:widowControl w:val="0"/>
        <w:overflowPunct w:val="0"/>
        <w:topLinePunct/>
        <w:autoSpaceDE w:val="0"/>
        <w:adjustRightInd w:val="0"/>
        <w:snapToGrid w:val="0"/>
        <w:spacing w:beforeLines="0"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1.各类奖项的认定以省教育厅〔2016〕1号文件的规定为依据。文件未能涵盖的由学校相关职能部门认定。</w:t>
      </w:r>
    </w:p>
    <w:p>
      <w:pPr>
        <w:widowControl w:val="0"/>
        <w:overflowPunct w:val="0"/>
        <w:topLinePunct/>
        <w:autoSpaceDE w:val="0"/>
        <w:adjustRightInd w:val="0"/>
        <w:snapToGrid w:val="0"/>
        <w:spacing w:beforeLines="0"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各类学科和技能竞赛按照安徽省教育厅《安徽省大学生学科和技能竞赛部分A、B类项目列表》的规定认定。项目的认定以比赛当年度的项目列表为准；比赛当年度如遇教育厅未调整项目列表，按照上年度列表执行。共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指导获奖的奖项，</w:t>
      </w:r>
      <w:r>
        <w:rPr>
          <w:rFonts w:hint="eastAsia" w:ascii="仿宋_GB2312" w:hAnsi="宋体" w:eastAsia="仿宋_GB2312"/>
          <w:sz w:val="28"/>
          <w:szCs w:val="28"/>
        </w:rPr>
        <w:t>仅限1人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使用（含内聘、晋级等），</w:t>
      </w:r>
      <w:r>
        <w:rPr>
          <w:rFonts w:hint="eastAsia" w:ascii="仿宋_GB2312" w:hAnsi="宋体" w:eastAsia="仿宋_GB2312"/>
          <w:sz w:val="28"/>
          <w:szCs w:val="28"/>
        </w:rPr>
        <w:t>一经发现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多人</w:t>
      </w:r>
      <w:r>
        <w:rPr>
          <w:rFonts w:hint="eastAsia" w:ascii="仿宋_GB2312" w:hAnsi="宋体" w:eastAsia="仿宋_GB2312"/>
          <w:sz w:val="28"/>
          <w:szCs w:val="28"/>
        </w:rPr>
        <w:t>使用按学术不端处理。</w:t>
      </w:r>
    </w:p>
    <w:bookmarkEnd w:id="0"/>
    <w:p>
      <w:pPr>
        <w:widowControl w:val="0"/>
        <w:overflowPunct w:val="0"/>
        <w:topLinePunct/>
        <w:autoSpaceDE w:val="0"/>
        <w:adjustRightInd w:val="0"/>
        <w:snapToGrid w:val="0"/>
        <w:spacing w:beforeLines="0"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A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2021-10-21T09:09:32Z</dcterms:created>
  <dc:creator>Administrator</dc:creator>
  <cp:lastModifiedBy>ren5678</cp:lastModifiedBy>
  <dcterms:modified xsi:type="dcterms:W3CDTF">2021-10-21T09:17:59Z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3E19EC7D018246DD8BA3DF23BCFA8064</vt:lpwstr>
  </property>
</Properties>
</file>